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761"/>
        <w:gridCol w:w="1267"/>
        <w:gridCol w:w="2097"/>
        <w:gridCol w:w="1683"/>
        <w:gridCol w:w="1485"/>
        <w:gridCol w:w="2570"/>
        <w:gridCol w:w="1994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大标宋简体" w:hAnsi="方正小标宋简体" w:eastAsia="方正大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  <w:lang w:eastAsia="zh-CN"/>
              </w:rPr>
              <w:t>枣庄市自然资源生态修复中心</w:t>
            </w: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业务范围清单</w:t>
            </w:r>
          </w:p>
          <w:p>
            <w:pPr>
              <w:adjustRightInd w:val="0"/>
              <w:snapToGrid w:val="0"/>
              <w:spacing w:line="680" w:lineRule="exact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枣庄市自然资源生态修复中心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枣庄市自然资源和规划局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</w:t>
            </w:r>
          </w:p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b/>
                <w:bCs/>
                <w:color w:val="97470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地下水监测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完成40个监测点的长期水位动态观测及常规地下水水质监测点枯水期、丰水期水样采集、送检工作，按要求定期上报地下水监测数据。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《地质环境监测办法》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维护现有人工常测点，保障现有监测网有效运行。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3328037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组织技术单位收集地下水监测点水位变化情况（每6天一次）；开展枯水期、丰水期水样采集、送检；组织编制枣庄市地下水监测年度报告，提交省总站。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开展南四湖生态修复方案枣庄部分编制工作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一是推进基础环境修复，包括矿山地质环境治理、地质灾害防治等；二是加强土地综合整治。开展工矿废弃地整治利用，对煤矿、石膏矿等开采引起的采空塌陷地进行修复整治。恢复生态功能，实现山水林田湖草生命共同体各自然要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优化。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关于印发《市城乡规划事业发展中心、市自然资源事业发展中心、市自然资源生态修复中心业务范围》的通知（枣自资规党发〔2019〕48号）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南四湖生态保护和高质量发展规划大纲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3328037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一、对全市存在生态环境问题进行梳理；二、做好生态修复项目的申报工作；三配合省编制组协调林业部门开展项目调研。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生态修复项目实施监管及技术指导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生态修复项目实施监管及技术指导包括国土空间综合整治、土地整理复垦、矿山地质环境恢复治理、城乡建设用地整治等项目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关于印发《市城乡规划事业发展中心、市自然资源事业发展中心、市自然资源生态修复中心业务范围》的通知（枣自资规党发〔2019〕48号）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统筹山水林田湖草系统治理，探索利用市场化方式推进生态保护和修复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8698287</w:t>
            </w:r>
          </w:p>
          <w:p>
            <w:pPr>
              <w:pStyle w:val="2"/>
              <w:ind w:firstLine="712" w:firstLineChars="29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3285886</w:t>
            </w:r>
          </w:p>
          <w:p>
            <w:pPr>
              <w:ind w:left="720" w:leftChars="0" w:hanging="720" w:hangingChars="3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3328037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负责全市生态修复项目可行性研究报告、设计报告和预算的审查，组织项目验收，向局提交审查意见和项目验收报告；提交生态修复项目资金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拨付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建议。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长期</w:t>
            </w:r>
          </w:p>
        </w:tc>
      </w:tr>
    </w:tbl>
    <w:p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>3168637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C602D"/>
    <w:rsid w:val="0D6C602D"/>
    <w:rsid w:val="14812B27"/>
    <w:rsid w:val="1B10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2020-07-02T08:23:00Z</dcterms:created>
  <dc:creator>Administrator</dc:creator>
  <cp:lastModifiedBy>TOP灬小道</cp:lastModifiedBy>
  <dcterms:modified xsi:type="dcterms:W3CDTF">2021-02-20T02:08:35Z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520289809_btnclosed</vt:lpwstr>
  </property>
</Properties>
</file>