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关于推荐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参加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枣庄市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批乡村规划师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志愿者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招募的函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枣庄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市规划和自然资源局：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根据《关于招募枣庄市第一批乡村规划师志愿者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的公告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》要求，我单位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XX 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同志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（身份证号：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符合招募资格条件，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同意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推荐其参加公</w:t>
      </w:r>
      <w:bookmarkStart w:id="0" w:name="_GoBack"/>
      <w:bookmarkEnd w:id="0"/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开</w:t>
      </w:r>
      <w:r>
        <w:rPr>
          <w:rFonts w:hint="eastAsia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招募</w:t>
      </w: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此函。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0" w:firstLineChars="2000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XXXX（单位名称）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98" w:firstLineChars="2200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9" w:firstLineChars="2100"/>
        <w:textAlignment w:val="auto"/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方正仿宋_GBK" w:eastAsia="仿宋_GB2312" w:cs="仿宋_GB2312"/>
          <w:sz w:val="32"/>
          <w:szCs w:val="32"/>
          <w:highlight w:val="none"/>
          <w:u w:val="none"/>
          <w:lang w:val="en-US" w:eastAsia="zh-CN"/>
        </w:rPr>
        <w:t>X年X月X日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985" w:right="1588" w:bottom="1985" w:left="1588" w:header="1418" w:footer="1701" w:gutter="0"/>
      <w:pgNumType w:fmt="decimalFullWidth"/>
      <w:cols w:space="72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55BE142-4BD0-4A31-A9F1-B0D9AF0363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4BD430-902F-4A59-90A2-FB5EB06F64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94CB002-F0D8-40A9-ADBD-534CCA8F7721}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C0B4F78A-6571-4D04-9D54-8B4A25DB07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E3B8B"/>
    <w:rsid w:val="76C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2021-11-24T08:23:00Z</dcterms:created>
  <dc:creator>Administrator</dc:creator>
  <cp:lastModifiedBy>乐观的悲观主义者</cp:lastModifiedBy>
  <dcterms:modified xsi:type="dcterms:W3CDTF">2021-12-14T09:05:05Z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A792E7E94025438E9D47F8D809FCEACE</vt:lpwstr>
  </property>
</Properties>
</file>